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5523" w14:textId="77777777" w:rsidR="00B6697A" w:rsidRPr="00B6697A" w:rsidRDefault="00B6697A" w:rsidP="00B6697A">
      <w:pPr>
        <w:keepNext/>
        <w:suppressAutoHyphens/>
        <w:spacing w:before="120" w:after="360" w:line="360" w:lineRule="auto"/>
        <w:jc w:val="center"/>
        <w:rPr>
          <w:rFonts w:ascii="Times" w:eastAsiaTheme="minorEastAsia" w:hAnsi="Times" w:cs="Arial"/>
          <w:b/>
          <w:bCs/>
          <w:sz w:val="24"/>
          <w:szCs w:val="24"/>
          <w:lang w:eastAsia="pl-PL"/>
        </w:rPr>
      </w:pPr>
      <w:r w:rsidRPr="00B6697A">
        <w:rPr>
          <w:rFonts w:ascii="Times" w:eastAsiaTheme="minorEastAsia" w:hAnsi="Times" w:cs="Arial"/>
          <w:b/>
          <w:bCs/>
          <w:sz w:val="24"/>
          <w:szCs w:val="24"/>
          <w:lang w:eastAsia="pl-PL"/>
        </w:rPr>
        <w:t>Uzasadnienie</w:t>
      </w:r>
    </w:p>
    <w:p w14:paraId="5BEC0983" w14:textId="18F9C06B" w:rsidR="00B6697A" w:rsidRPr="00B6697A" w:rsidRDefault="00B6697A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B6697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Projekt rozporządzenia stanowi wykonanie upoważnienia ustawowego zawartego w art. </w:t>
      </w:r>
      <w:r w:rsidR="00584829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20 ust. 1</w:t>
      </w:r>
      <w:r w:rsidR="00584829" w:rsidRPr="00B6697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</w:t>
      </w:r>
      <w:r w:rsidRPr="00B6697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ustawy z dnia 28 kwietnia 2011 r. o systemie informa</w:t>
      </w:r>
      <w:r w:rsidR="00584829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cji w ochronie zdrowia (</w:t>
      </w:r>
      <w:r w:rsidR="009B54E7" w:rsidRPr="009B54E7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Dz. U. z 2019 r. poz. 408 i 730</w:t>
      </w:r>
      <w:r w:rsidRPr="00B6697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)</w:t>
      </w:r>
      <w:r w:rsidR="00B736ED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, zwanej dale</w:t>
      </w:r>
      <w:r w:rsidR="001B5515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j</w:t>
      </w:r>
      <w:r w:rsidR="00B736ED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„ustawą”</w:t>
      </w:r>
      <w:r w:rsidRPr="00B6697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.</w:t>
      </w:r>
    </w:p>
    <w:p w14:paraId="5A9161F0" w14:textId="49B1C7E6" w:rsidR="00910EA8" w:rsidRDefault="00910EA8" w:rsidP="00B6697A">
      <w:pPr>
        <w:shd w:val="clear" w:color="auto" w:fill="FFFFFF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0E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Opracowanie projektu rozporządzenia Ministra Zdrowia w sprawie Rejestru </w:t>
      </w:r>
      <w:r w:rsidR="002E5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Operacji Naczyniowych</w:t>
      </w:r>
      <w:r w:rsidR="002E5F35" w:rsidRPr="00910E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910E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zostało poprzedzone, zgodnie z art. 19 ust. 3 ustawy, analizą potrzeby utworzenia tego rejestru.</w:t>
      </w:r>
    </w:p>
    <w:p w14:paraId="0935D2B7" w14:textId="16671CF1" w:rsidR="00B6697A" w:rsidRPr="00B6697A" w:rsidRDefault="00B6697A" w:rsidP="00B6697A">
      <w:pPr>
        <w:shd w:val="clear" w:color="auto" w:fill="FFFFFF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obszarze operacji naczyniowych brak jest</w:t>
      </w:r>
      <w:r w:rsidR="005848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monitoringu wyników leczenia w </w:t>
      </w:r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poszczególnych ośrodkach świadczących tego typu operacje, efektywności stosowanych procedur (rozumianej jako relacja trwałości zastosowanej procedury do jej ceny). Dostępne dane wskazują na to, że 70% hospitalizacji w chirurgii naczyniowej to hospitalizacje powtórne. Istnieje zatem potrzeba zidentyfikowania najbardziej i najmniej efektywnych procedur w celu ograniczania tych ostatnich do minimum niezbędnego ze względów klinicznych, po to by ograniczyć wydatki na nieefektywne leczenie. Zebranie rzetelnych informacji o liczbie operacji powtórnych pozwoli oszacować rzeczywiste zapotrzebowanie na operacje naczyniowe</w:t>
      </w:r>
      <w:r w:rsidR="00B73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a zatem na bardziej precyzyjne projektowanie budżetu przeznaczanego na tego typu operacje. Utworzenie rejestru jest odpowiedzią na ww. deficyty wiedzy w zakresie jakości i kosztów operacji naczyniowych. </w:t>
      </w:r>
    </w:p>
    <w:p w14:paraId="70E16E13" w14:textId="5C7F1507" w:rsidR="00B6697A" w:rsidRPr="00B6697A" w:rsidRDefault="00B6697A" w:rsidP="00B669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Na podnoszenie jakości świadczeń</w:t>
      </w:r>
      <w:r w:rsidR="00B73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bookmarkStart w:id="0" w:name="_GoBack"/>
      <w:bookmarkEnd w:id="0"/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a zatem na ograniczanie ponownych interwencji i tym samym na lepsze zarządzanie funduszami</w:t>
      </w:r>
      <w:r w:rsidR="00B73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B669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ma również wpływ jakość szkolenia lekarzy. Planowany rejestr pozwoli na porównywanie poziomu szkoleń prowadzonych w różnych ośrodkach, co pozwoli podejmować decyzje odnośnie ich finansowania (np. dofinansowanie słabszych ośrodków – wyposażanie w lepszy sprzęt, kontraktowanie bardziej doświadczonych specjalistów, motywowanie lepszych ośrodków – dotacje na badania i rozwój).</w:t>
      </w:r>
    </w:p>
    <w:p w14:paraId="77720E3B" w14:textId="444E9966" w:rsidR="00910EA8" w:rsidRDefault="00B6697A" w:rsidP="008C5D6E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Rejestr jest systemem przeznaczonym do przekazywania i gromadzenia danych o usługobiorcach, usługach i usługodawcach w sposób ustrukturyzowany, systematyczny </w:t>
      </w:r>
      <w:r w:rsidR="00175793">
        <w:rPr>
          <w:rFonts w:ascii="Times" w:eastAsiaTheme="minorEastAsia" w:hAnsi="Times" w:cs="Arial"/>
          <w:sz w:val="24"/>
          <w:szCs w:val="20"/>
          <w:lang w:eastAsia="pl-PL"/>
        </w:rPr>
        <w:t xml:space="preserve">i </w:t>
      </w:r>
      <w:r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jednolity. Prowadzenie rejestru w postaci elektronicznej ma na celu zapewnienie prostych rozwiązań gromadzenia i przekazywania danych. </w:t>
      </w:r>
    </w:p>
    <w:p w14:paraId="3579B757" w14:textId="165FA58A" w:rsidR="00910EA8" w:rsidRDefault="00584829" w:rsidP="00B6697A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sz w:val="24"/>
          <w:szCs w:val="20"/>
          <w:lang w:eastAsia="pl-PL"/>
        </w:rPr>
      </w:pPr>
      <w:r>
        <w:rPr>
          <w:rFonts w:ascii="Times" w:eastAsiaTheme="minorEastAsia" w:hAnsi="Times" w:cs="Arial"/>
          <w:sz w:val="24"/>
          <w:szCs w:val="20"/>
          <w:lang w:eastAsia="pl-PL"/>
        </w:rPr>
        <w:t>Zgodnie z </w:t>
      </w:r>
      <w:r w:rsidR="00B6697A" w:rsidRPr="00B6697A">
        <w:rPr>
          <w:rFonts w:ascii="Times" w:eastAsiaTheme="minorEastAsia" w:hAnsi="Times" w:cs="Arial"/>
          <w:sz w:val="24"/>
          <w:szCs w:val="20"/>
          <w:lang w:eastAsia="pl-PL"/>
        </w:rPr>
        <w:t>definicją rejestru medycznego zawartą w art. 2 pkt 12 ustawy rejestr medyczny służy realizacji zadań publicznych. Natomiast zgodnie z ustawą z dnia 4 września 1997 r. o działach administracji rządowej (Dz.</w:t>
      </w:r>
      <w:r w:rsidR="00B736ED">
        <w:rPr>
          <w:rFonts w:ascii="Times" w:eastAsiaTheme="minorEastAsia" w:hAnsi="Times" w:cs="Arial"/>
          <w:sz w:val="24"/>
          <w:szCs w:val="20"/>
          <w:lang w:eastAsia="pl-PL"/>
        </w:rPr>
        <w:t xml:space="preserve"> </w:t>
      </w:r>
      <w:r w:rsidR="00B6697A"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U. z 2018 r. poz. 762, z późn. zm.) dział zdrowie </w:t>
      </w:r>
      <w:r w:rsidR="00B6697A" w:rsidRPr="00B6697A">
        <w:rPr>
          <w:rFonts w:ascii="Times" w:eastAsiaTheme="minorEastAsia" w:hAnsi="Times" w:cs="Arial"/>
          <w:sz w:val="24"/>
          <w:szCs w:val="20"/>
          <w:lang w:eastAsia="pl-PL"/>
        </w:rPr>
        <w:lastRenderedPageBreak/>
        <w:t>obejmuje, m.in. ochronę zdrowia i zasady organizacji opieki zdrowotnej</w:t>
      </w:r>
      <w:r w:rsidR="00910EA8">
        <w:rPr>
          <w:rFonts w:ascii="Times" w:eastAsiaTheme="minorEastAsia" w:hAnsi="Times" w:cs="Arial"/>
          <w:sz w:val="24"/>
          <w:szCs w:val="20"/>
          <w:lang w:eastAsia="pl-PL"/>
        </w:rPr>
        <w:t>.</w:t>
      </w:r>
      <w:r w:rsidR="00B6697A"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 </w:t>
      </w:r>
      <w:r w:rsidR="00C87E67">
        <w:rPr>
          <w:rFonts w:ascii="Times" w:eastAsiaTheme="minorEastAsia" w:hAnsi="Times" w:cs="Arial"/>
          <w:sz w:val="24"/>
          <w:szCs w:val="20"/>
          <w:lang w:eastAsia="pl-PL"/>
        </w:rPr>
        <w:t xml:space="preserve">Działanie zgodnie z celami utworzenia rejestru wpisuje się w realizację zadań publicznych ministra zdrowia zgodnie z brzmieniem zawartym w ustawie </w:t>
      </w:r>
      <w:r w:rsidR="00B6697A" w:rsidRPr="00B6697A">
        <w:rPr>
          <w:rFonts w:ascii="Times" w:eastAsiaTheme="minorEastAsia" w:hAnsi="Times" w:cs="Arial"/>
          <w:sz w:val="24"/>
          <w:szCs w:val="20"/>
          <w:lang w:eastAsia="pl-PL"/>
        </w:rPr>
        <w:t>z dnia 4 września 1997 r. o działach admini</w:t>
      </w:r>
      <w:r w:rsidR="00C87E67">
        <w:rPr>
          <w:rFonts w:ascii="Times" w:eastAsiaTheme="minorEastAsia" w:hAnsi="Times" w:cs="Arial"/>
          <w:sz w:val="24"/>
          <w:szCs w:val="20"/>
          <w:lang w:eastAsia="pl-PL"/>
        </w:rPr>
        <w:t>stracji rządowej</w:t>
      </w:r>
      <w:r w:rsidR="00522183">
        <w:rPr>
          <w:rFonts w:ascii="Times" w:eastAsiaTheme="minorEastAsia" w:hAnsi="Times" w:cs="Arial"/>
          <w:sz w:val="24"/>
          <w:szCs w:val="20"/>
          <w:lang w:eastAsia="pl-PL"/>
        </w:rPr>
        <w:t xml:space="preserve">. </w:t>
      </w:r>
      <w:r w:rsidR="00910EA8" w:rsidRPr="00910EA8">
        <w:rPr>
          <w:rFonts w:ascii="Times" w:eastAsiaTheme="minorEastAsia" w:hAnsi="Times" w:cs="Arial"/>
          <w:sz w:val="24"/>
          <w:szCs w:val="20"/>
          <w:lang w:eastAsia="pl-PL"/>
        </w:rPr>
        <w:t xml:space="preserve">W związku z powyższym uzasadnione </w:t>
      </w:r>
      <w:r w:rsidR="008C5D6E">
        <w:rPr>
          <w:rFonts w:ascii="Times" w:eastAsiaTheme="minorEastAsia" w:hAnsi="Times" w:cs="Arial"/>
          <w:sz w:val="24"/>
          <w:szCs w:val="20"/>
          <w:lang w:eastAsia="pl-PL"/>
        </w:rPr>
        <w:t xml:space="preserve">jest </w:t>
      </w:r>
      <w:r w:rsidR="00910EA8" w:rsidRPr="00910EA8">
        <w:rPr>
          <w:rFonts w:ascii="Times" w:eastAsiaTheme="minorEastAsia" w:hAnsi="Times" w:cs="Arial"/>
          <w:sz w:val="24"/>
          <w:szCs w:val="20"/>
          <w:lang w:eastAsia="pl-PL"/>
        </w:rPr>
        <w:t>sfinansowanie kosztów utworzenia rejestru przez ministra właściwego do spraw zdrowia.</w:t>
      </w:r>
    </w:p>
    <w:p w14:paraId="4A864CAD" w14:textId="77777777" w:rsidR="008C5D6E" w:rsidRDefault="00910EA8" w:rsidP="00B6697A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sz w:val="24"/>
          <w:szCs w:val="20"/>
          <w:lang w:eastAsia="pl-PL"/>
        </w:rPr>
      </w:pPr>
      <w:r w:rsidRPr="00910EA8">
        <w:rPr>
          <w:rFonts w:ascii="Times" w:eastAsiaTheme="minorEastAsia" w:hAnsi="Times" w:cs="Arial"/>
          <w:sz w:val="24"/>
          <w:szCs w:val="20"/>
          <w:lang w:eastAsia="pl-PL"/>
        </w:rPr>
        <w:t>Istotne znaczenie w prowadzeniu rejestru ma uzyskanie danych pochodzących z baz Narodowego Funduszu Zdrowia. Dane te umożliwią uzyskanie pełniejszej i bardziej wszechstronnej wiedzy na temat długoterminowej korzyści, bezpieczeństwa i skuteczności zabiegów będących przedmiotem rejestrów. Dodatkowo dzięki zestawieniu informacji z wielu jednostek możliwe będzie optymalizowanie ścieżki pacjenta, modyfikacja produktów Narodowego Funduszu Zdrowia i ich wycen oraz wskazywanie potencjalnych oszczędności w systemie opieki zdrowotnej.</w:t>
      </w:r>
      <w:r>
        <w:rPr>
          <w:rFonts w:ascii="Times" w:eastAsiaTheme="minorEastAsia" w:hAnsi="Times" w:cs="Arial"/>
          <w:sz w:val="24"/>
          <w:szCs w:val="20"/>
          <w:lang w:eastAsia="pl-PL"/>
        </w:rPr>
        <w:t xml:space="preserve"> </w:t>
      </w:r>
    </w:p>
    <w:p w14:paraId="32A5A8E1" w14:textId="1D386FE0" w:rsidR="00B6697A" w:rsidRDefault="00B6697A" w:rsidP="00B6697A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Jednym z efektów prowadzenia rejestru będą analizy zgromadzonych danych przeprowadzone przez podmiot prowadzący rejestr, na jego zlecenie lub we współpracy z tym podmiotem. Analizy te będą dla ministra właściwego do spraw zdrowia </w:t>
      </w:r>
      <w:r w:rsidR="00175793">
        <w:rPr>
          <w:rFonts w:ascii="Times" w:eastAsiaTheme="minorEastAsia" w:hAnsi="Times" w:cs="Arial"/>
          <w:sz w:val="24"/>
          <w:szCs w:val="20"/>
          <w:lang w:eastAsia="pl-PL"/>
        </w:rPr>
        <w:t xml:space="preserve">jednym z </w:t>
      </w:r>
      <w:r w:rsidR="00175793"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 </w:t>
      </w:r>
      <w:r w:rsidRPr="00B6697A">
        <w:rPr>
          <w:rFonts w:ascii="Times" w:eastAsiaTheme="minorEastAsia" w:hAnsi="Times" w:cs="Arial"/>
          <w:sz w:val="24"/>
          <w:szCs w:val="20"/>
          <w:lang w:eastAsia="pl-PL"/>
        </w:rPr>
        <w:t>narzędzi umożliwiającym podejmo</w:t>
      </w:r>
      <w:r w:rsidR="00584829">
        <w:rPr>
          <w:rFonts w:ascii="Times" w:eastAsiaTheme="minorEastAsia" w:hAnsi="Times" w:cs="Arial"/>
          <w:sz w:val="24"/>
          <w:szCs w:val="20"/>
          <w:lang w:eastAsia="pl-PL"/>
        </w:rPr>
        <w:t>wanie racjonalnych, opartych na </w:t>
      </w:r>
      <w:r w:rsidRPr="00B6697A">
        <w:rPr>
          <w:rFonts w:ascii="Times" w:eastAsiaTheme="minorEastAsia" w:hAnsi="Times" w:cs="Arial"/>
          <w:sz w:val="24"/>
          <w:szCs w:val="20"/>
          <w:lang w:eastAsia="pl-PL"/>
        </w:rPr>
        <w:t xml:space="preserve">sprawdzonych danych, decyzji związanych z podnoszeniem poziomu wykonywania ww. zadania publicznego oraz z działaniami zmierzającymi do jak najlepszego wypełniania celu istnienia rejestru. </w:t>
      </w:r>
    </w:p>
    <w:p w14:paraId="10D821D8" w14:textId="77777777" w:rsidR="00B6697A" w:rsidRPr="00B6697A" w:rsidRDefault="00B6697A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bCs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 xml:space="preserve">Brak jest możliwości podjęcia alternatywnych w stosunku do wydania rozporządzenia środków umożliwiających osiągnięcie zamierzonego celu. </w:t>
      </w:r>
    </w:p>
    <w:p w14:paraId="4E970B92" w14:textId="14EBE643" w:rsidR="00B6697A" w:rsidRPr="00B6697A" w:rsidRDefault="004D41F6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bCs/>
          <w:sz w:val="24"/>
          <w:szCs w:val="20"/>
          <w:lang w:eastAsia="pl-PL"/>
        </w:rPr>
      </w:pPr>
      <w:r w:rsidRPr="004D41F6">
        <w:rPr>
          <w:rFonts w:ascii="Times" w:eastAsiaTheme="minorEastAsia" w:hAnsi="Times" w:cs="Arial"/>
          <w:bCs/>
          <w:sz w:val="24"/>
          <w:szCs w:val="20"/>
          <w:lang w:eastAsia="pl-PL"/>
        </w:rPr>
        <w:t xml:space="preserve">Proponuje się, aby przepisy rozporządzenia weszły w życie </w:t>
      </w:r>
      <w:r>
        <w:rPr>
          <w:rFonts w:ascii="Times" w:eastAsiaTheme="minorEastAsia" w:hAnsi="Times" w:cs="Arial"/>
          <w:bCs/>
          <w:sz w:val="24"/>
          <w:szCs w:val="20"/>
          <w:lang w:eastAsia="pl-PL"/>
        </w:rPr>
        <w:t>po upływie 14 dni od ogłoszenia</w:t>
      </w:r>
      <w:r w:rsidR="00522183" w:rsidRPr="00522183">
        <w:rPr>
          <w:rFonts w:ascii="Times" w:eastAsiaTheme="minorEastAsia" w:hAnsi="Times" w:cs="Arial"/>
          <w:bCs/>
          <w:sz w:val="24"/>
          <w:szCs w:val="20"/>
          <w:lang w:eastAsia="pl-PL"/>
        </w:rPr>
        <w:t>.</w:t>
      </w:r>
    </w:p>
    <w:p w14:paraId="13A3D169" w14:textId="77777777" w:rsidR="00B6697A" w:rsidRPr="00B6697A" w:rsidRDefault="00B6697A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bCs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>Projekt nie jest sprzeczny z prawem Unii Europejskiej.</w:t>
      </w:r>
    </w:p>
    <w:p w14:paraId="0EA555CE" w14:textId="77777777" w:rsidR="00B6697A" w:rsidRPr="00B6697A" w:rsidRDefault="00B6697A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sz w:val="24"/>
          <w:szCs w:val="20"/>
          <w:lang w:eastAsia="pl-PL"/>
        </w:rPr>
        <w:t>Projekt nie podlega obowiązkowi przedstawienia właściwym organom i instytucjom Unii Europejskiej, w tym Europejskiemu Bankowi Centralnemu, w celu uzyskania opinii, dokonania powiadomienia, konsultacji albo uzgodnienia.</w:t>
      </w:r>
    </w:p>
    <w:p w14:paraId="77D97D33" w14:textId="464D2FD4" w:rsidR="00B6697A" w:rsidRPr="00B6697A" w:rsidRDefault="00B6697A" w:rsidP="00B6697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Theme="minorEastAsia" w:hAnsi="Times" w:cs="Arial"/>
          <w:bCs/>
          <w:sz w:val="24"/>
          <w:szCs w:val="20"/>
          <w:lang w:eastAsia="pl-PL"/>
        </w:rPr>
      </w:pP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>Przedmiotowy projekt może mieć wpływ na działalność mikroprzedsiębiorców</w:t>
      </w:r>
      <w:r w:rsidR="001B5515">
        <w:rPr>
          <w:rFonts w:ascii="Times" w:eastAsiaTheme="minorEastAsia" w:hAnsi="Times" w:cs="Arial"/>
          <w:bCs/>
          <w:sz w:val="24"/>
          <w:szCs w:val="20"/>
          <w:lang w:eastAsia="pl-PL"/>
        </w:rPr>
        <w:t xml:space="preserve"> oraz </w:t>
      </w: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>małych i średnich przedsiębiorców przez dostarczenie danych o jakości i efektywności wykonywanych przez nich procedur. Informacja ta może wpłynąć na poprawę jakości realizowanych przez nich świadczeń opieki zdrowotnej.</w:t>
      </w:r>
    </w:p>
    <w:p w14:paraId="0D00EC33" w14:textId="77777777" w:rsidR="00910EA8" w:rsidRDefault="00910EA8" w:rsidP="00B6697A">
      <w:pPr>
        <w:spacing w:line="360" w:lineRule="auto"/>
        <w:rPr>
          <w:rFonts w:ascii="Times" w:eastAsiaTheme="minorEastAsia" w:hAnsi="Times" w:cs="Arial"/>
          <w:bCs/>
          <w:sz w:val="24"/>
          <w:szCs w:val="20"/>
          <w:lang w:eastAsia="pl-PL"/>
        </w:rPr>
      </w:pPr>
    </w:p>
    <w:p w14:paraId="0DD216BF" w14:textId="2F10111C" w:rsidR="004F7162" w:rsidRDefault="00B6697A" w:rsidP="008C5D6E">
      <w:pPr>
        <w:spacing w:line="360" w:lineRule="auto"/>
        <w:jc w:val="both"/>
      </w:pP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>Projekt nie zawiera przepisów technicznych w rozumieniu przepisów rozporządzenia Rady Ministrów z dnia 23 grudnia 2002 r. w sprawie sposobu funkcjonowania krajowego systemu notyfikacji norm i aktów prawnych (Dz. U. poz. 2039</w:t>
      </w:r>
      <w:r w:rsidR="00641F09">
        <w:rPr>
          <w:rFonts w:ascii="Times" w:eastAsiaTheme="minorEastAsia" w:hAnsi="Times" w:cs="Arial"/>
          <w:bCs/>
          <w:sz w:val="24"/>
          <w:szCs w:val="20"/>
          <w:lang w:eastAsia="pl-PL"/>
        </w:rPr>
        <w:t>oraz z 2004 r. poz. 597</w:t>
      </w:r>
      <w:r w:rsidRPr="00B6697A">
        <w:rPr>
          <w:rFonts w:ascii="Times" w:eastAsiaTheme="minorEastAsia" w:hAnsi="Times" w:cs="Arial"/>
          <w:bCs/>
          <w:sz w:val="24"/>
          <w:szCs w:val="20"/>
          <w:lang w:eastAsia="pl-PL"/>
        </w:rPr>
        <w:t>) i w związku z tym nie podlega procedurze notyfikacji.</w:t>
      </w:r>
    </w:p>
    <w:sectPr w:rsidR="004F7162" w:rsidSect="001A7F15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E630F" w14:textId="77777777" w:rsidR="00CC5BB2" w:rsidRDefault="00CC5BB2">
      <w:pPr>
        <w:spacing w:after="0" w:line="240" w:lineRule="auto"/>
      </w:pPr>
      <w:r>
        <w:separator/>
      </w:r>
    </w:p>
  </w:endnote>
  <w:endnote w:type="continuationSeparator" w:id="0">
    <w:p w14:paraId="66129340" w14:textId="77777777" w:rsidR="00CC5BB2" w:rsidRDefault="00CC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C4FE8" w14:textId="77777777" w:rsidR="00CC5BB2" w:rsidRDefault="00CC5BB2">
      <w:pPr>
        <w:spacing w:after="0" w:line="240" w:lineRule="auto"/>
      </w:pPr>
      <w:r>
        <w:separator/>
      </w:r>
    </w:p>
  </w:footnote>
  <w:footnote w:type="continuationSeparator" w:id="0">
    <w:p w14:paraId="7193B738" w14:textId="77777777" w:rsidR="00CC5BB2" w:rsidRDefault="00CC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5EF79" w14:textId="77777777" w:rsidR="008A3AC1" w:rsidRPr="00B371CC" w:rsidRDefault="004E4044" w:rsidP="00B371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25BC"/>
    <w:multiLevelType w:val="hybridMultilevel"/>
    <w:tmpl w:val="D3A27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77B9F"/>
    <w:multiLevelType w:val="hybridMultilevel"/>
    <w:tmpl w:val="8FF04BEA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912"/>
    <w:rsid w:val="000B2FA6"/>
    <w:rsid w:val="00175793"/>
    <w:rsid w:val="001A4BC8"/>
    <w:rsid w:val="001B5515"/>
    <w:rsid w:val="002E5F35"/>
    <w:rsid w:val="00380671"/>
    <w:rsid w:val="003D173D"/>
    <w:rsid w:val="003D787C"/>
    <w:rsid w:val="004D41F6"/>
    <w:rsid w:val="004E4044"/>
    <w:rsid w:val="004F7162"/>
    <w:rsid w:val="0050518A"/>
    <w:rsid w:val="00522183"/>
    <w:rsid w:val="00584829"/>
    <w:rsid w:val="005A6617"/>
    <w:rsid w:val="005D4807"/>
    <w:rsid w:val="00641F09"/>
    <w:rsid w:val="006739DD"/>
    <w:rsid w:val="006854C4"/>
    <w:rsid w:val="006A3FB8"/>
    <w:rsid w:val="00773CCA"/>
    <w:rsid w:val="00803892"/>
    <w:rsid w:val="00811FD7"/>
    <w:rsid w:val="008C5D6E"/>
    <w:rsid w:val="00910EA8"/>
    <w:rsid w:val="00964AC2"/>
    <w:rsid w:val="009B54E7"/>
    <w:rsid w:val="00A57150"/>
    <w:rsid w:val="00B00DBB"/>
    <w:rsid w:val="00B6697A"/>
    <w:rsid w:val="00B67906"/>
    <w:rsid w:val="00B736ED"/>
    <w:rsid w:val="00BA0BF0"/>
    <w:rsid w:val="00BE3814"/>
    <w:rsid w:val="00C13912"/>
    <w:rsid w:val="00C87E67"/>
    <w:rsid w:val="00CC5BB2"/>
    <w:rsid w:val="00DC4F9E"/>
    <w:rsid w:val="00FA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242E"/>
  <w15:chartTrackingRefBased/>
  <w15:docId w15:val="{EB49BCD8-7412-4715-8E0C-29CEA95C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6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697A"/>
  </w:style>
  <w:style w:type="character" w:styleId="Odwoaniedokomentarza">
    <w:name w:val="annotation reference"/>
    <w:basedOn w:val="Domylnaczcionkaakapitu"/>
    <w:uiPriority w:val="99"/>
    <w:semiHidden/>
    <w:unhideWhenUsed/>
    <w:rsid w:val="00B73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6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36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6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4222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Mierzejewski Robert</dc:creator>
  <cp:keywords/>
  <dc:description/>
  <cp:lastModifiedBy>Perzyńska Ewa</cp:lastModifiedBy>
  <cp:revision>2</cp:revision>
  <dcterms:created xsi:type="dcterms:W3CDTF">2019-11-14T12:26:00Z</dcterms:created>
  <dcterms:modified xsi:type="dcterms:W3CDTF">2019-11-14T12:26:00Z</dcterms:modified>
</cp:coreProperties>
</file>